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5C69949F"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1321A89" w:rsidR="00093CA9" w:rsidRDefault="001F41D5" w:rsidP="00093CA9">
            <w:r w:rsidRPr="001F41D5">
              <w:t>National Climate Change Plan of the United Arab Emirates 2017-2050</w:t>
            </w:r>
            <w:r w:rsidR="00C978BA">
              <w:t xml:space="preserve"> (“</w:t>
            </w:r>
            <w:r w:rsidR="00C978BA" w:rsidRPr="00C978BA">
              <w:rPr>
                <w:b/>
                <w:bCs/>
              </w:rPr>
              <w:t>Climate Plan</w:t>
            </w:r>
            <w:r w:rsidR="00C978BA">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DF9FD63" w:rsidR="00093CA9" w:rsidRDefault="00C978BA" w:rsidP="00093CA9">
            <w:hyperlink r:id="rId17" w:history="1">
              <w:r w:rsidRPr="00C978BA">
                <w:rPr>
                  <w:rStyle w:val="Hyperlink"/>
                </w:rPr>
                <w:t>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4CBFAA8" w:rsidR="00093CA9" w:rsidRDefault="001F41D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53221BD1" w:rsidR="00093CA9" w:rsidRDefault="001F41D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5E921211"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C3EA4F9" w14:textId="27722A2A" w:rsidR="00C978BA" w:rsidRDefault="00C978BA" w:rsidP="00093CA9">
            <w:r>
              <w:t>The primary objectives of the Climate Plan are to address the causes and impacts of climate change, manage greenhouse gas emissions whilst sustaining economic growth, minimise risks and improve capacity of adaption to climate change and enhance the UAE’s economic diversification agenda through innovate solutions.</w:t>
            </w:r>
          </w:p>
          <w:p w14:paraId="1BCE0F08" w14:textId="77777777" w:rsidR="00C978BA" w:rsidRDefault="00C978BA" w:rsidP="00093CA9">
            <w:r>
              <w:t xml:space="preserve">The Climate Plan is highly relevant to climate-related disclosure and transition planning: </w:t>
            </w:r>
          </w:p>
          <w:p w14:paraId="7B028A0F" w14:textId="77777777" w:rsidR="00093CA9" w:rsidRDefault="00C978BA" w:rsidP="00C978BA">
            <w:pPr>
              <w:pStyle w:val="ListParagraph"/>
              <w:numPr>
                <w:ilvl w:val="0"/>
                <w:numId w:val="49"/>
              </w:numPr>
            </w:pPr>
            <w:r>
              <w:t>It calls for the development of a scientific, robust and credible national green house gas emissions management system;</w:t>
            </w:r>
          </w:p>
          <w:p w14:paraId="241C8914" w14:textId="13DD741A" w:rsidR="00C978BA" w:rsidRDefault="00C978BA" w:rsidP="00C978BA">
            <w:pPr>
              <w:pStyle w:val="ListParagraph"/>
              <w:numPr>
                <w:ilvl w:val="0"/>
                <w:numId w:val="49"/>
              </w:numPr>
            </w:pPr>
            <w:r>
              <w:t>It mandates systematic climate risk and vulnerability assessments which are essential for transition planning;</w:t>
            </w:r>
          </w:p>
          <w:p w14:paraId="18257824" w14:textId="33E5D484" w:rsidR="00C978BA" w:rsidRDefault="00C978BA" w:rsidP="00C978BA">
            <w:pPr>
              <w:pStyle w:val="ListParagraph"/>
              <w:numPr>
                <w:ilvl w:val="0"/>
                <w:numId w:val="49"/>
              </w:numPr>
            </w:pPr>
            <w:r>
              <w:t>The Plan recognises the critical role of the private sector in climate action and economic diversification. It encourages voluntary carbon disclosure, efficiency engagement agreements and adoption of green standards and certifications. These measures align with global trends in climate-related financial disclosure and support businesses in transition planning</w:t>
            </w:r>
            <w:r w:rsidR="00025E49">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7C4D1B0" w:rsidR="00093CA9" w:rsidRDefault="00025E49"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110EB5E8" w:rsidR="00093CA9" w:rsidRDefault="00025E49" w:rsidP="00093CA9">
            <w:r>
              <w:t xml:space="preserve">This is a plan/ strategy, not legislation.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924274E" w:rsidR="00093CA9" w:rsidRPr="00173D7C" w:rsidRDefault="00CD2B2D" w:rsidP="00093CA9">
            <w:pPr>
              <w:rPr>
                <w:color w:val="000000" w:themeColor="text1"/>
              </w:rPr>
            </w:pPr>
            <w:r>
              <w:rPr>
                <w:color w:val="000000" w:themeColor="text1"/>
              </w:rPr>
              <w:t>June 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6D6B33E" w:rsidR="00093CA9" w:rsidRDefault="00CD2B2D" w:rsidP="00093CA9">
            <w:r>
              <w:t xml:space="preserve">Developed by the Ministry of Climate Change (governmental body) in partnership with the Global Green Growth Institute (a treaty-based international organisation – intergovernmental organisation).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5B1E1B2" w:rsidR="00093CA9" w:rsidRPr="006B7B0D" w:rsidRDefault="0046474E" w:rsidP="00093CA9">
            <w:r>
              <w:t xml:space="preserve">The implementation of the Climate Plan will be overseen by the UAE Council on Climate Change and the Environment (as inter-ministerial, inter-emirate governance body)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57981E3"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54B5145" w:rsidR="00093CA9" w:rsidRPr="006B7B0D" w:rsidRDefault="0046474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3269124" w:rsidR="00093CA9" w:rsidRPr="006B7B0D" w:rsidRDefault="0046474E" w:rsidP="00093CA9">
            <w:r>
              <w:t>Ministry of Climate Change and Environment (role of secretariat) (“</w:t>
            </w:r>
            <w:proofErr w:type="spellStart"/>
            <w:r w:rsidRPr="0046474E">
              <w:rPr>
                <w:b/>
                <w:bCs/>
              </w:rPr>
              <w:t>MOCCAE</w:t>
            </w:r>
            <w:proofErr w:type="spellEnd"/>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5BF27B9B" w:rsidR="00093CA9" w:rsidRPr="006B7B0D" w:rsidRDefault="0046474E"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2625DAE5" w:rsidR="00093CA9" w:rsidRDefault="0046474E" w:rsidP="00093CA9">
            <w:r>
              <w:t xml:space="preserve">Both entities take primary responsibility for monitoring the progress of the Climate Plan.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91F1CEC" w:rsidR="00093CA9" w:rsidRDefault="0046474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7D7F8DB6" w14:textId="77777777" w:rsidR="0046474E" w:rsidRDefault="0046474E" w:rsidP="00093CA9">
            <w:pPr>
              <w:keepNext/>
              <w:rPr>
                <w:color w:val="000000" w:themeColor="text1"/>
              </w:rPr>
            </w:pPr>
            <w:r>
              <w:rPr>
                <w:color w:val="000000" w:themeColor="text1"/>
              </w:rPr>
              <w:t xml:space="preserve">The </w:t>
            </w:r>
            <w:proofErr w:type="spellStart"/>
            <w:r>
              <w:rPr>
                <w:color w:val="000000" w:themeColor="text1"/>
              </w:rPr>
              <w:t>MOCCAE</w:t>
            </w:r>
            <w:proofErr w:type="spellEnd"/>
            <w:r>
              <w:rPr>
                <w:color w:val="000000" w:themeColor="text1"/>
              </w:rPr>
              <w:t xml:space="preserve"> will monitor and evaluate the Climate Plan through: setting and tracking </w:t>
            </w:r>
            <w:proofErr w:type="spellStart"/>
            <w:r>
              <w:rPr>
                <w:color w:val="000000" w:themeColor="text1"/>
              </w:rPr>
              <w:t>KPIs</w:t>
            </w:r>
            <w:proofErr w:type="spellEnd"/>
            <w:r>
              <w:rPr>
                <w:color w:val="000000" w:themeColor="text1"/>
              </w:rPr>
              <w:t xml:space="preserve">; coordinating Council member entities for data inputs and progress updates; preparing comprehensive progress reports on a regular basis; and communicating key progress with stakeholders (page 60). </w:t>
            </w:r>
          </w:p>
          <w:p w14:paraId="2C2128DB" w14:textId="25E02FAF" w:rsidR="0046474E" w:rsidRPr="008017F9" w:rsidRDefault="0046474E" w:rsidP="00093CA9">
            <w:pPr>
              <w:keepNext/>
              <w:rPr>
                <w:color w:val="000000" w:themeColor="text1"/>
              </w:rPr>
            </w:pPr>
            <w:r>
              <w:rPr>
                <w:color w:val="000000" w:themeColor="text1"/>
              </w:rPr>
              <w:t xml:space="preserve">The Climate Plan proposes the development of the national greenhouse gas emissions management system; this is designed to provide a uniform framework for measurement, reporting and verification of greenhouse gas emissions across all sectors (pages 27, 37-38).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AB703E9" w:rsidR="00CF5268" w:rsidRDefault="00CB6289"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A1DF0D6" w:rsidR="00CF5268" w:rsidRDefault="00CB6289"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9AD30DC" w:rsidR="00CF5268" w:rsidRDefault="00CB6289"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14385013" w:rsidR="00CF5268" w:rsidRDefault="00CB6289"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F64AECF" w:rsidR="00CF5268" w:rsidRDefault="00CB6289"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25D98B9B" w:rsidR="466E435B" w:rsidRDefault="00CB6289" w:rsidP="00DD3144">
            <w:r>
              <w:t>x</w:t>
            </w:r>
          </w:p>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25CD7A46" w:rsidR="00CF5268" w:rsidRDefault="00CB6289" w:rsidP="00DD3144">
            <w:r>
              <w:t>x</w:t>
            </w:r>
          </w:p>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56D89569" w:rsidR="466E435B" w:rsidRDefault="00CB6289"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4DE8D002" w:rsidR="466E435B" w:rsidRDefault="00CB6289" w:rsidP="00DD3144">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7780C805" w:rsidR="466E435B" w:rsidRDefault="00CB6289"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22866C38" w:rsidR="466E435B" w:rsidRDefault="00CB6289" w:rsidP="00DD3144">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19F25253" w:rsidR="00CF5268" w:rsidRDefault="00CB6289"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D287375" w:rsidR="00B536E6" w:rsidRDefault="00CB6289"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628890A2" w:rsidR="00B536E6" w:rsidRDefault="00CB6289"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598F1E41" w:rsidR="00B536E6" w:rsidRDefault="00CB6289"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232820F2" w:rsidR="00B536E6" w:rsidRDefault="00CB6289"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5584AAA6" w:rsidR="00B536E6" w:rsidRDefault="00CB6289"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2C217BB5" w:rsidR="00B536E6" w:rsidRDefault="00CB6289"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1B9394F7" w:rsidR="00B536E6" w:rsidRDefault="00CB6289"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13E23FAD" w:rsidR="00B536E6" w:rsidRDefault="00CB6289"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07C682C7" w:rsidR="00B536E6" w:rsidRDefault="00CB6289"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593C4DD" w:rsidR="00B536E6" w:rsidRDefault="00CB6289"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5D937626" w:rsidR="00B536E6" w:rsidRDefault="00CB6289"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70F43171" w:rsidR="00B536E6" w:rsidRDefault="00CB6289"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319B01D" w:rsidR="00B536E6" w:rsidRDefault="00CB6289"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B86304F" w:rsidR="00B536E6" w:rsidRDefault="00CB6289"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15F8367F" w:rsidR="00B536E6" w:rsidRDefault="00CB6289"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69B1802D" w:rsidR="00B536E6" w:rsidRDefault="00CB6289" w:rsidP="00DD3144">
            <w:r>
              <w:t>x</w:t>
            </w:r>
          </w:p>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004CF38D" w:rsidR="00B536E6" w:rsidRDefault="00CB6289" w:rsidP="00DD3144">
            <w:r>
              <w:t>x</w:t>
            </w:r>
          </w:p>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E4F59E9" w:rsidR="00B536E6" w:rsidRDefault="00CB6289"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5392D30" w:rsidR="00B536E6" w:rsidRDefault="00CB6289"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2D8779DB" w:rsidR="00B536E6" w:rsidRDefault="00CB6289"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15AA44B" w:rsidR="00B536E6" w:rsidRDefault="00CB6289"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1ECF4D47" w:rsidR="00B536E6" w:rsidRDefault="00B536E6" w:rsidP="00DD3144"/>
        </w:tc>
        <w:tc>
          <w:tcPr>
            <w:tcW w:w="1447" w:type="dxa"/>
            <w:vAlign w:val="center"/>
          </w:tcPr>
          <w:p w14:paraId="60062F90" w14:textId="11D45824" w:rsidR="00B536E6" w:rsidRDefault="00CB6289" w:rsidP="00DD3144">
            <w:r>
              <w:t>x</w:t>
            </w:r>
          </w:p>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A9227A" w:rsidR="0039223F" w:rsidRDefault="00CB6289" w:rsidP="00DD3144">
            <w:r>
              <w:t xml:space="preserve">Tourism </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5FA0F30" w14:textId="77777777" w:rsidR="0039223F" w:rsidRDefault="00CB6289" w:rsidP="00DD3144">
            <w:r>
              <w:t xml:space="preserve">Sectoral actors are specifically targeted through sector-based initiatives. The Climate Plan </w:t>
            </w:r>
            <w:r w:rsidRPr="00CB6289">
              <w:t>addresses actors in healthcare (public health adaptation), utilities (energy and water efficiency), education (curriculum development and capacity building), transport (emissions reduction), agriculture, tourism, and manufacturing</w:t>
            </w:r>
            <w:r>
              <w:t xml:space="preserve">. </w:t>
            </w:r>
          </w:p>
          <w:p w14:paraId="020308A1" w14:textId="71979A72" w:rsidR="00CB6289" w:rsidRDefault="00CB6289" w:rsidP="00DD3144">
            <w:r>
              <w:t xml:space="preserve">These are all voluntary as it is a plan, not mandatory legislation.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978BA"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C978BA" w:rsidRDefault="00107CE2" w:rsidP="00DD3144">
            <w:pPr>
              <w:rPr>
                <w:lang w:val="fr-FR"/>
              </w:rPr>
            </w:pPr>
            <w:r w:rsidRPr="00C978BA">
              <w:rPr>
                <w:lang w:val="fr-FR"/>
              </w:rPr>
              <w:t>Minimum revenue (Enter minimum revenue)</w:t>
            </w:r>
          </w:p>
        </w:tc>
        <w:tc>
          <w:tcPr>
            <w:tcW w:w="4910" w:type="dxa"/>
            <w:gridSpan w:val="7"/>
            <w:shd w:val="clear" w:color="auto" w:fill="auto"/>
            <w:vAlign w:val="center"/>
          </w:tcPr>
          <w:p w14:paraId="2518BD70" w14:textId="77777777" w:rsidR="00524D54" w:rsidRPr="00C978BA" w:rsidRDefault="00524D54" w:rsidP="00DD3144">
            <w:pPr>
              <w:rPr>
                <w:lang w:val="fr-FR"/>
              </w:rPr>
            </w:pPr>
          </w:p>
        </w:tc>
      </w:tr>
      <w:tr w:rsidR="00524D54" w:rsidRPr="00287C1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74FF5E13" w:rsidR="00911F20" w:rsidRDefault="00356F3E"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665A7386" w14:textId="7FD349F7" w:rsidR="00654950" w:rsidRDefault="00356F3E" w:rsidP="00DD3144">
            <w:pPr>
              <w:spacing w:line="276" w:lineRule="auto"/>
              <w:rPr>
                <w:color w:val="000000" w:themeColor="text1"/>
              </w:rPr>
            </w:pPr>
            <w:r>
              <w:rPr>
                <w:color w:val="000000" w:themeColor="text1"/>
              </w:rPr>
              <w:t xml:space="preserve">The UAE Cabinet has approved several climate-related strategies including </w:t>
            </w:r>
            <w:hyperlink r:id="rId18" w:history="1">
              <w:r w:rsidRPr="00356F3E">
                <w:rPr>
                  <w:rStyle w:val="Hyperlink"/>
                </w:rPr>
                <w:t>UAE Net Zero by 2050 Strategic Initiative</w:t>
              </w:r>
            </w:hyperlink>
            <w:r>
              <w:rPr>
                <w:color w:val="000000" w:themeColor="text1"/>
              </w:rPr>
              <w:t xml:space="preserve"> (designed to align with the Climate Plan). </w:t>
            </w:r>
          </w:p>
          <w:p w14:paraId="371EA706" w14:textId="203C6BDF" w:rsidR="00356F3E" w:rsidRDefault="00356F3E" w:rsidP="00DD3144">
            <w:pPr>
              <w:spacing w:line="276" w:lineRule="auto"/>
              <w:rPr>
                <w:color w:val="000000" w:themeColor="text1"/>
              </w:rPr>
            </w:pPr>
            <w:r>
              <w:rPr>
                <w:color w:val="000000" w:themeColor="text1"/>
              </w:rPr>
              <w:t xml:space="preserve">The UAE has submitted </w:t>
            </w:r>
            <w:hyperlink r:id="rId19" w:history="1">
              <w:r w:rsidRPr="00356F3E">
                <w:rPr>
                  <w:rStyle w:val="Hyperlink"/>
                </w:rPr>
                <w:t>Nationally Determined Contributions (</w:t>
              </w:r>
              <w:proofErr w:type="spellStart"/>
              <w:r w:rsidRPr="00356F3E">
                <w:rPr>
                  <w:rStyle w:val="Hyperlink"/>
                </w:rPr>
                <w:t>NDCs</w:t>
              </w:r>
              <w:proofErr w:type="spellEnd"/>
              <w:r w:rsidRPr="00356F3E">
                <w:rPr>
                  <w:rStyle w:val="Hyperlink"/>
                </w:rPr>
                <w:t>)</w:t>
              </w:r>
            </w:hyperlink>
            <w:r>
              <w:rPr>
                <w:color w:val="000000" w:themeColor="text1"/>
              </w:rPr>
              <w:t xml:space="preserve"> under the Paris Agreement (referring the Climate Plan). </w:t>
            </w:r>
          </w:p>
          <w:p w14:paraId="51C8A9D6" w14:textId="2C8927F2" w:rsidR="00BD0410" w:rsidRDefault="00BD0410" w:rsidP="00DD3144">
            <w:pPr>
              <w:spacing w:line="276" w:lineRule="auto"/>
              <w:rPr>
                <w:color w:val="000000" w:themeColor="text1"/>
              </w:rPr>
            </w:pPr>
            <w:r>
              <w:rPr>
                <w:color w:val="000000" w:themeColor="text1"/>
              </w:rPr>
              <w:t xml:space="preserve">The UAE has invested in renewable energy, particularly solar, such as </w:t>
            </w:r>
            <w:hyperlink r:id="rId20" w:history="1">
              <w:r w:rsidRPr="00BD0410">
                <w:rPr>
                  <w:rStyle w:val="Hyperlink"/>
                </w:rPr>
                <w:t>Mohammed bin Rashid Al Maktoum Solar Park and the Noor Abu Dhabi Solar Plant. </w:t>
              </w:r>
            </w:hyperlink>
            <w:r w:rsidRPr="00BD0410">
              <w:rPr>
                <w:color w:val="000000" w:themeColor="text1"/>
              </w:rPr>
              <w:t>These projects highlight the UAE's commitment to diversifying its energy sources and reducing its carbon footprint</w:t>
            </w:r>
            <w:r>
              <w:rPr>
                <w:color w:val="000000" w:themeColor="text1"/>
              </w:rPr>
              <w:t>.</w:t>
            </w:r>
          </w:p>
          <w:p w14:paraId="7A457096" w14:textId="67E5CD86" w:rsidR="00356F3E" w:rsidRDefault="00BD0410" w:rsidP="00DD3144">
            <w:pPr>
              <w:spacing w:line="276" w:lineRule="auto"/>
              <w:rPr>
                <w:color w:val="000000" w:themeColor="text1"/>
              </w:rPr>
            </w:pPr>
            <w:r>
              <w:rPr>
                <w:color w:val="000000" w:themeColor="text1"/>
              </w:rPr>
              <w:t>The UAE has set targets for increasing share of clean energy, aiming for 50% by 2050 and has launched initiatives to improve energy efficiency and reduce greenhouse gas emissions (</w:t>
            </w:r>
            <w:hyperlink r:id="rId21" w:history="1">
              <w:r w:rsidRPr="00BD0410">
                <w:rPr>
                  <w:rStyle w:val="Hyperlink"/>
                </w:rPr>
                <w:t>article</w:t>
              </w:r>
            </w:hyperlink>
            <w:r>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A7CA295" w:rsidR="008063B5" w:rsidRDefault="00AB02E2"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2A760593" w:rsidR="00042406" w:rsidRDefault="00AB02E2"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0CC0A1E9" w:rsidR="00042406" w:rsidRDefault="00AB02E2"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55102263" w:rsidR="00042406" w:rsidRDefault="00AB02E2"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7041963" w:rsidR="00042406" w:rsidRDefault="00AB02E2"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34EDA9C" w:rsidR="00042406" w:rsidRDefault="00AB02E2" w:rsidP="00DD3144">
            <w:r>
              <w:t>x</w:t>
            </w:r>
          </w:p>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3255EE0" w:rsidR="00042406" w:rsidRDefault="00AB02E2" w:rsidP="00DD3144">
            <w:r>
              <w:t>x</w:t>
            </w:r>
          </w:p>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6BB586CC" w:rsidR="00042406" w:rsidRDefault="00AB02E2"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44145D5C" w:rsidR="00931F08" w:rsidRDefault="00AB02E2" w:rsidP="00DD3144">
            <w:r>
              <w:t xml:space="preserve">No </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D20112F" w:rsidR="00931F08" w:rsidRDefault="00AB02E2"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6157B485" w:rsidR="00931F08" w:rsidRDefault="00AB02E2"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FE42FC0" w:rsidR="00931F08" w:rsidRDefault="00AB02E2"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6AC904BB" w:rsidR="00931F08" w:rsidRDefault="00AB02E2"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472D6392" w:rsidR="00931F08" w:rsidRDefault="00AB02E2"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6007F793" w:rsidR="00931F08" w:rsidRDefault="00AB02E2"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AF48425"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717E75E6" w:rsidR="00B0479E" w:rsidRDefault="00AB02E2"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0F688970"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E58EA8C" w:rsidR="00B0479E" w:rsidRDefault="007C73E4"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060915EB" w14:textId="77777777" w:rsidR="00B0479E" w:rsidRDefault="007C73E4" w:rsidP="00DD3144">
            <w:pPr>
              <w:rPr>
                <w:rFonts w:ascii="Calibri" w:hAnsi="Calibri" w:cs="Calibri"/>
              </w:rPr>
            </w:pPr>
            <w:r>
              <w:rPr>
                <w:rFonts w:ascii="Calibri" w:hAnsi="Calibri" w:cs="Calibri"/>
              </w:rPr>
              <w:t xml:space="preserve">The policy tool does not list each greenhouse gas individually but it is standard practice in national GHG inventories to include, at a minimum, the following: carbon dioxide, methane, nitrous oxide, hydrofluorocarbons, perfluorocarbons, sulphur hexafluoride, nitrogen trifluoride. </w:t>
            </w:r>
          </w:p>
          <w:p w14:paraId="39D4D3D6" w14:textId="60AAEED1" w:rsidR="007C73E4" w:rsidRDefault="007C73E4" w:rsidP="00DD3144">
            <w:pPr>
              <w:rPr>
                <w:rFonts w:ascii="Calibri" w:hAnsi="Calibri" w:cs="Calibri"/>
              </w:rPr>
            </w:pPr>
            <w:r>
              <w:rPr>
                <w:rFonts w:ascii="Calibri" w:hAnsi="Calibri" w:cs="Calibri"/>
              </w:rPr>
              <w:t xml:space="preserve">It is not specified whether the </w:t>
            </w:r>
            <w:proofErr w:type="spellStart"/>
            <w:r>
              <w:rPr>
                <w:rFonts w:ascii="Calibri" w:hAnsi="Calibri" w:cs="Calibri"/>
              </w:rPr>
              <w:t>MRV</w:t>
            </w:r>
            <w:proofErr w:type="spellEnd"/>
            <w:r>
              <w:rPr>
                <w:rFonts w:ascii="Calibri" w:hAnsi="Calibri" w:cs="Calibri"/>
              </w:rPr>
              <w:t xml:space="preserve"> system is third-party verified (page 27) but in the longer term, the UAE may consider more rigorous forms of inventory reporting (page 38).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234D0DD9" w:rsidR="00B0479E" w:rsidRDefault="007C73E4"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1502E1F" w:rsidR="00B0479E" w:rsidRDefault="007C73E4"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4C062883" w:rsidR="00B0479E" w:rsidRDefault="007C73E4"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480F5E94" w:rsidR="00B0479E" w:rsidRDefault="007C73E4"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10AC3B65" w:rsidR="00B0479E" w:rsidRDefault="007C73E4"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A6F4D2F" w:rsidR="00B0479E" w:rsidRDefault="007C73E4"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5AF0E674" w:rsidR="00B0479E" w:rsidRDefault="007C73E4"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66C5DCEF" w:rsidR="00B0479E" w:rsidRDefault="007C73E4"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002898EA" w:rsidR="00B0479E" w:rsidRDefault="007C73E4"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5E2288CD" w:rsidR="00B0479E" w:rsidRDefault="007C73E4" w:rsidP="00DD3144">
            <w:r>
              <w:t>x</w:t>
            </w:r>
          </w:p>
        </w:tc>
        <w:tc>
          <w:tcPr>
            <w:tcW w:w="1440" w:type="dxa"/>
            <w:shd w:val="clear" w:color="auto" w:fill="auto"/>
            <w:vAlign w:val="center"/>
          </w:tcPr>
          <w:p w14:paraId="0FB585A8" w14:textId="221A184A"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6DE709F8" w:rsidR="00B0479E" w:rsidRDefault="007C73E4"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537665B4" w:rsidR="00B0479E" w:rsidRDefault="007C73E4"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12331807" w:rsidR="00B0479E" w:rsidRDefault="007C73E4"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4D2D6F1A" w:rsidR="00B0479E" w:rsidRDefault="007C73E4"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630C18E0" w:rsidR="00B0479E" w:rsidRDefault="007C73E4"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2E9FF30C" w:rsidR="00B0479E" w:rsidRDefault="007C73E4" w:rsidP="00DD3144">
            <w:r>
              <w:t xml:space="preserve">It sets our clear timeframes for national climate action, with milestones for 2020, 2025, 2030 and 2050 (page 28). </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93BD6A5" w:rsidR="00B0479E" w:rsidRDefault="007C73E4"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4E39037B"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17A65621" w:rsidR="00B0479E" w:rsidRDefault="007C73E4"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6342EFD3" w:rsidR="00B0479E" w:rsidRDefault="007C73E4"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3371583C" w:rsidR="00B0479E" w:rsidRDefault="007F5D1E"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1E52B4E4" w:rsidR="00B0479E" w:rsidRDefault="007F5D1E"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65F2400E" w:rsidR="00B0479E" w:rsidRDefault="007F5D1E"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15065B67" w14:textId="77777777" w:rsidR="00B0479E" w:rsidRDefault="007F5D1E" w:rsidP="00DD3144">
            <w:r>
              <w:t xml:space="preserve">Targets or goals for climate adaption: development of </w:t>
            </w:r>
            <w:proofErr w:type="spellStart"/>
            <w:r>
              <w:t>NAAP</w:t>
            </w:r>
            <w:proofErr w:type="spellEnd"/>
            <w:r>
              <w:t xml:space="preserve"> (page 42]; conducting </w:t>
            </w:r>
            <w:proofErr w:type="spellStart"/>
            <w:r>
              <w:t>NCCRA</w:t>
            </w:r>
            <w:proofErr w:type="spellEnd"/>
            <w:r>
              <w:t xml:space="preserve"> to inform evidence-based adaption planning (page 42); mainstream national and emirate-level development policies (page 27); establishing a technical working group pm adaption and integrating early warning systems, disaster risk reduction and eco-system based adaption (page 42); long-term development of the management system (page 43). </w:t>
            </w:r>
          </w:p>
          <w:p w14:paraId="1887EEC1" w14:textId="77777777" w:rsidR="007F5D1E" w:rsidRDefault="007F5D1E" w:rsidP="00DD3144"/>
          <w:p w14:paraId="350B5561" w14:textId="77777777" w:rsidR="007F5D1E" w:rsidRDefault="007F5D1E" w:rsidP="00DD3144">
            <w:r>
              <w:t xml:space="preserve">Targets or goals for </w:t>
            </w:r>
            <w:r>
              <w:t xml:space="preserve">nature and/or biodiversity: establish network of marine protected areas and terrestrial protected areas (page 42); mapping and expanding blue carbon potential (page 42); promotion of eco-tourism and sustainable tourism frameworks to protect natural assets (page 55). </w:t>
            </w:r>
          </w:p>
          <w:p w14:paraId="263820B0" w14:textId="0C076AD4" w:rsidR="007F5D1E" w:rsidRDefault="00933238" w:rsidP="00DD3144">
            <w:r>
              <w:lastRenderedPageBreak/>
              <w:t xml:space="preserve">The Climate Plan does not use the specific term, ‘just transition’, but it addresses related concepts through its focus on economic diversification, capacity building and workforce development including: transition to a green economy is expected to generate more jobs (page 59); collaboration between academia and industry (page 33); youth empowerment (page 33).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14392AD7" w:rsidR="00EC42A1" w:rsidRDefault="00933238"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702D40AF" w:rsidR="00EC42A1" w:rsidRDefault="00933238"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3177DD3" w:rsidR="00EC42A1" w:rsidRDefault="00933238"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742D20F" w:rsidR="00EC42A1" w:rsidRDefault="00933238"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lastRenderedPageBreak/>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29814B17" w:rsidR="00484663" w:rsidRDefault="00933238"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02A6953" w:rsidR="00484663" w:rsidRDefault="00933238"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617894A" w:rsidR="00484663" w:rsidRDefault="00933238"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5FFACA8D" w:rsidR="00484663" w:rsidRDefault="00933238"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lastRenderedPageBreak/>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333967ED" w:rsidR="00484663" w:rsidRDefault="00933238"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3C54CDBC" w:rsidR="00484663" w:rsidRDefault="00933238"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1C656896" w:rsidR="00484663" w:rsidRDefault="00933238"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3DCEA13A" w:rsidR="00484663" w:rsidRDefault="00933238"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3B0BF421" w:rsidR="00484663" w:rsidRDefault="00933238"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4A16975" w:rsidR="00484663" w:rsidRDefault="00933238"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4F5794AE" w:rsidR="00484663" w:rsidRDefault="00933238"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6DEFB59E" w:rsidR="00484663" w:rsidRDefault="00933238"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20176982" w:rsidR="00484663" w:rsidRDefault="00933238"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3D37647D" w:rsidR="00484663" w:rsidRDefault="00933238" w:rsidP="00DD3144">
            <w:r>
              <w:t>x</w:t>
            </w:r>
          </w:p>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33F9D0B6" w:rsidR="00484663" w:rsidRDefault="00933238"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116D519" w:rsidR="00484663" w:rsidRDefault="00933238"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lastRenderedPageBreak/>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A5F4A29" w:rsidR="00DA416F" w:rsidRPr="00DD3144" w:rsidRDefault="00E84E05"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44ACECB9" w:rsidR="00DA416F" w:rsidRPr="00DD3144" w:rsidRDefault="00E84E05"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9024947" w:rsidR="00DA416F" w:rsidRPr="00DD3144" w:rsidRDefault="00E84E05"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27C1FAFE" w:rsidR="00DA416F" w:rsidRPr="00DD3144" w:rsidRDefault="00E84E05"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7C69FB7" w:rsidR="00DA416F" w:rsidRPr="00DD3144" w:rsidRDefault="00E84E05"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9EA0738" w:rsidR="00DA416F" w:rsidRPr="00DD3144" w:rsidRDefault="00E84E05"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223E416" w:rsidR="00DA416F" w:rsidRPr="00DD3144" w:rsidRDefault="00E84E05"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5F1D378" w:rsidR="00DA416F" w:rsidRPr="00DD3144" w:rsidRDefault="00E84E05"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394A7444" w:rsidR="00DA416F" w:rsidRPr="00DD3144" w:rsidRDefault="00E84E05"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85B2E17" w:rsidR="00DA416F" w:rsidRPr="00DD3144" w:rsidRDefault="00E84E05"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5D041CF1" w:rsidR="00DA416F" w:rsidRPr="00DD3144" w:rsidRDefault="00E84E05"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1D73BAC" w:rsidR="00DA416F" w:rsidRPr="00DD3144" w:rsidRDefault="00E84E05"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918DB19" w:rsidR="00DA416F" w:rsidRPr="00DD3144" w:rsidRDefault="00E84E05"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15B7194" w:rsidR="004B1F6B" w:rsidRPr="00DD3144" w:rsidRDefault="00E84E05" w:rsidP="00DD3144">
            <w:pPr>
              <w:rPr>
                <w:rFonts w:ascii="Calibri" w:hAnsi="Calibri" w:cs="Calibri"/>
              </w:rPr>
            </w:pPr>
            <w:r>
              <w:rPr>
                <w:rFonts w:ascii="Calibri" w:hAnsi="Calibri" w:cs="Calibri"/>
              </w:rPr>
              <w:t xml:space="preserve">The Plan refers to UAE’s obligations under the </w:t>
            </w:r>
            <w:hyperlink r:id="rId22" w:history="1">
              <w:r w:rsidRPr="00E84E05">
                <w:rPr>
                  <w:rStyle w:val="Hyperlink"/>
                  <w:rFonts w:ascii="Calibri" w:hAnsi="Calibri" w:cs="Calibri"/>
                </w:rPr>
                <w:t>United Nations Framework Convention on Climate Change</w:t>
              </w:r>
            </w:hyperlink>
            <w:r>
              <w:rPr>
                <w:rFonts w:ascii="Calibri" w:hAnsi="Calibri" w:cs="Calibri"/>
              </w:rPr>
              <w:t xml:space="preserve"> and the </w:t>
            </w:r>
            <w:hyperlink r:id="rId23" w:history="1">
              <w:r w:rsidRPr="00E84E05">
                <w:rPr>
                  <w:rStyle w:val="Hyperlink"/>
                  <w:rFonts w:ascii="Calibri" w:hAnsi="Calibri" w:cs="Calibri"/>
                </w:rPr>
                <w:t>Paris Agreement</w:t>
              </w:r>
            </w:hyperlink>
            <w:r>
              <w:rPr>
                <w:rFonts w:ascii="Calibri" w:hAnsi="Calibri" w:cs="Calibri"/>
              </w:rPr>
              <w:t xml:space="preserve">, including the preparation of National Communications and Biennial Update Reports (page 21-23, 34-36).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1146B75"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376B58DF"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5006F7BA"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65A814C"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91F1B92"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49719D82"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26B46C87" w:rsidR="00C4670C" w:rsidRPr="00C37D48" w:rsidRDefault="00D422D0"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2B44AE3"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9A9CA20" w:rsidR="00C4670C" w:rsidRPr="00C37D48" w:rsidRDefault="00D422D0"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16D576D8" w:rsidR="00C4670C" w:rsidRPr="00C37D48" w:rsidRDefault="00960B63"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163CF8A4" w:rsidR="00C4670C" w:rsidRPr="00C37D48" w:rsidRDefault="00960B63"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3C1B5996" w:rsidR="00C4670C" w:rsidRPr="00C37D48" w:rsidRDefault="00960B63"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4C02812" w:rsidR="00C4670C" w:rsidRPr="00C37D48" w:rsidRDefault="00C4670C" w:rsidP="00C37D48">
            <w:pPr>
              <w:rPr>
                <w:rFonts w:ascii="Calibri" w:hAnsi="Calibri" w:cs="Calibri"/>
              </w:rPr>
            </w:pPr>
          </w:p>
        </w:tc>
        <w:tc>
          <w:tcPr>
            <w:tcW w:w="1614" w:type="dxa"/>
            <w:vAlign w:val="center"/>
          </w:tcPr>
          <w:p w14:paraId="0131CDDC" w14:textId="7BDD52D8" w:rsidR="00C4670C" w:rsidRPr="00C37D48" w:rsidRDefault="00960B63"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022DE3F0" w:rsidR="004F276F" w:rsidRPr="00C37D48" w:rsidRDefault="00960B63" w:rsidP="00C37D48">
            <w:pPr>
              <w:rPr>
                <w:rFonts w:ascii="Calibri" w:hAnsi="Calibri" w:cs="Calibri"/>
              </w:rPr>
            </w:pPr>
            <w:r>
              <w:rPr>
                <w:rFonts w:ascii="Calibri" w:hAnsi="Calibri" w:cs="Calibri"/>
              </w:rPr>
              <w:t xml:space="preserve">The Plan also identifies academia, youth groups and the media as important stakeholders in transition planning, particularly for capacity building, research, innovation and awareness-raising. </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1FA856A2"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18104BBD" w:rsidR="004F276F" w:rsidRPr="00C37D48" w:rsidRDefault="00960B63"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44363EB1" w:rsidR="004F276F" w:rsidRPr="00C37D48" w:rsidRDefault="00960B63"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00FEC82" w:rsidR="004F276F" w:rsidRPr="00C37D48" w:rsidRDefault="00960B63"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2DF119C2" w:rsidR="004F276F" w:rsidRPr="00C37D48" w:rsidRDefault="00960B63"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1575FBEC" w:rsidR="004F276F" w:rsidRPr="00C37D48" w:rsidRDefault="00960B63"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046A644D"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00969E0A" w:rsidR="004F276F" w:rsidRPr="00C37D48" w:rsidRDefault="00960B63"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2D39A4B9"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177124CD"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6A9D9869"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3AECE4BA"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D0F7702" w:rsidR="004F276F" w:rsidRPr="00C37D48" w:rsidRDefault="00960B63"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45554D7C"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48A6C01"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D5E5A05" w:rsidR="004F276F" w:rsidRPr="00C37D48" w:rsidRDefault="00960B63"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27B0752B"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378BB622"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05D70315"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249DF01B"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5A110D7B"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5B3F0112"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1B190421"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9C031BE" w:rsidR="004F276F" w:rsidRPr="00C37D48" w:rsidRDefault="00960B63"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D411200" w:rsidR="004F276F" w:rsidRPr="00C37D48" w:rsidRDefault="00960B63"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545C6AE2"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87D349E"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6588D67" w:rsidR="004F276F" w:rsidRPr="00C37D48" w:rsidRDefault="00960B63" w:rsidP="00C37D48">
            <w:pPr>
              <w:rPr>
                <w:rFonts w:ascii="Calibri" w:hAnsi="Calibri" w:cs="Calibri"/>
              </w:rPr>
            </w:pPr>
            <w:r>
              <w:rPr>
                <w:rFonts w:ascii="Calibri" w:hAnsi="Calibri" w:cs="Calibri"/>
              </w:rPr>
              <w:t>x</w:t>
            </w: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428A5CD9" w:rsidR="004F276F" w:rsidRPr="00C37D48" w:rsidRDefault="00960B63" w:rsidP="00C37D48">
            <w:pPr>
              <w:rPr>
                <w:rFonts w:ascii="Calibri" w:hAnsi="Calibri" w:cs="Calibri"/>
              </w:rPr>
            </w:pPr>
            <w:r>
              <w:rPr>
                <w:rFonts w:ascii="Calibri" w:hAnsi="Calibri" w:cs="Calibri"/>
              </w:rPr>
              <w:t xml:space="preserve">The climate Plan’s inclusive approach means that any sector not explicitly listed but relevant to climate mitigation, adaption, or green growth is considered within the scope.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90FC6E" w14:textId="77777777" w:rsidR="004F276F" w:rsidRDefault="00703014" w:rsidP="00C37D48">
            <w:pPr>
              <w:rPr>
                <w:rFonts w:ascii="Calibri" w:hAnsi="Calibri" w:cs="Calibri"/>
              </w:rPr>
            </w:pPr>
            <w:r>
              <w:rPr>
                <w:rFonts w:ascii="Calibri" w:hAnsi="Calibri" w:cs="Calibri"/>
              </w:rPr>
              <w:t xml:space="preserve">The Climate Plan does not single out publicly-trading companies as a distinct group but it does target the sector more broadly. These entities are expected to participate in climate action, particularly areas such as green finance, innovation and emissions management. </w:t>
            </w:r>
          </w:p>
          <w:p w14:paraId="11C9BF94" w14:textId="77777777" w:rsidR="00703014" w:rsidRDefault="00703014" w:rsidP="00C37D48">
            <w:pPr>
              <w:rPr>
                <w:rFonts w:ascii="Calibri" w:hAnsi="Calibri" w:cs="Calibri"/>
              </w:rPr>
            </w:pPr>
            <w:r>
              <w:rPr>
                <w:rFonts w:ascii="Calibri" w:hAnsi="Calibri" w:cs="Calibri"/>
              </w:rPr>
              <w:t xml:space="preserve">State-Owned companies are not specifically named as a separate category but the Climate Plan’s broad references to the private and public sector, and key national industries (such as oil and gas, utilities and manufacturing) encompass state-owned enterprises, particularly in sections where the government maintains significant ownership or control. </w:t>
            </w:r>
          </w:p>
          <w:p w14:paraId="6DE480B7" w14:textId="77777777" w:rsidR="00703014" w:rsidRDefault="00703014" w:rsidP="00C37D48">
            <w:pPr>
              <w:rPr>
                <w:rFonts w:ascii="Calibri" w:hAnsi="Calibri" w:cs="Calibri"/>
              </w:rPr>
            </w:pPr>
            <w:r>
              <w:rPr>
                <w:rFonts w:ascii="Calibri" w:hAnsi="Calibri" w:cs="Calibri"/>
              </w:rPr>
              <w:t xml:space="preserve">The Climate Plan identifies </w:t>
            </w:r>
            <w:proofErr w:type="spellStart"/>
            <w:r>
              <w:rPr>
                <w:rFonts w:ascii="Calibri" w:hAnsi="Calibri" w:cs="Calibri"/>
              </w:rPr>
              <w:t>NPO</w:t>
            </w:r>
            <w:proofErr w:type="spellEnd"/>
            <w:r>
              <w:rPr>
                <w:rFonts w:ascii="Calibri" w:hAnsi="Calibri" w:cs="Calibri"/>
              </w:rPr>
              <w:t xml:space="preserve"> and NGOs as stakeholders. They are involved in the consultation process and as partners in awareness raising, capacity building and implementation of climate initiatives. </w:t>
            </w:r>
          </w:p>
          <w:p w14:paraId="22761D67" w14:textId="77777777" w:rsidR="00703014" w:rsidRDefault="00703014" w:rsidP="00C37D48">
            <w:pPr>
              <w:rPr>
                <w:rFonts w:ascii="Calibri" w:hAnsi="Calibri" w:cs="Calibri"/>
              </w:rPr>
            </w:pPr>
            <w:r w:rsidRPr="00703014">
              <w:rPr>
                <w:rFonts w:ascii="Calibri" w:hAnsi="Calibri" w:cs="Calibri"/>
              </w:rPr>
              <w:lastRenderedPageBreak/>
              <w:t>Local government entities, such as municipalities and city authorities, are included as stakeholders and implementation partners, particularly in areas like urban planning, building codes, waste management, and public transport.</w:t>
            </w:r>
          </w:p>
          <w:p w14:paraId="41EA3B18" w14:textId="1ED52F6A" w:rsidR="00703014" w:rsidRPr="00C37D48" w:rsidRDefault="00703014" w:rsidP="00C37D48">
            <w:pPr>
              <w:rPr>
                <w:rFonts w:ascii="Calibri" w:hAnsi="Calibri" w:cs="Calibri"/>
              </w:rPr>
            </w:pPr>
            <w:r w:rsidRPr="00703014">
              <w:rPr>
                <w:rFonts w:ascii="Calibri" w:hAnsi="Calibri" w:cs="Calibri"/>
              </w:rPr>
              <w:t>The Plan frequently refers to “relevant authorities” and “stakeholders” without always specifying the level, indicating that all tiers of government may be involved as appropriate.</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978B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978BA" w:rsidRDefault="004F276F" w:rsidP="00C37D48">
            <w:pPr>
              <w:rPr>
                <w:rFonts w:ascii="Calibri" w:hAnsi="Calibri" w:cs="Calibri"/>
                <w:lang w:val="fr-FR"/>
              </w:rPr>
            </w:pPr>
            <w:r w:rsidRPr="00C978B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978BA" w:rsidRDefault="004F276F" w:rsidP="00C37D48">
            <w:pPr>
              <w:rPr>
                <w:rFonts w:ascii="Calibri" w:hAnsi="Calibri" w:cs="Calibri"/>
                <w:lang w:val="fr-FR"/>
              </w:rPr>
            </w:pPr>
          </w:p>
        </w:tc>
      </w:tr>
      <w:tr w:rsidR="004F276F" w:rsidRPr="00287C1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60D26EA9"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03EC2F87" w:rsidR="004F276F" w:rsidRPr="00C37D48" w:rsidRDefault="00703014"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83EA25E" w:rsidR="001F30DE" w:rsidRPr="00C37D48" w:rsidRDefault="00703014"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3D22B9CC" w:rsidR="001F30DE" w:rsidRPr="00C37D48" w:rsidRDefault="00703014" w:rsidP="00C37D48">
            <w:pPr>
              <w:rPr>
                <w:rFonts w:ascii="Calibri" w:hAnsi="Calibri" w:cs="Calibri"/>
              </w:rPr>
            </w:pPr>
            <w:r>
              <w:rPr>
                <w:rFonts w:ascii="Calibri" w:hAnsi="Calibri" w:cs="Calibri"/>
              </w:rPr>
              <w:t xml:space="preserve">See 1.11 above.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681A0C11" w:rsidR="004F48E8" w:rsidRPr="00C37D48" w:rsidRDefault="00703014"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4A4DDFFC" w:rsidR="000A1365" w:rsidRPr="00C37D48" w:rsidRDefault="00703014"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8204A48" w:rsidR="00D27551" w:rsidRPr="00C37D48" w:rsidRDefault="00703014"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D2E6D2A" w:rsidR="00850F36" w:rsidRPr="00C37D48" w:rsidRDefault="002655D6"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391EB3E8" w:rsidR="00850F36" w:rsidRPr="00C37D48" w:rsidRDefault="002655D6"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69E8A857" w:rsidR="00850F36" w:rsidRPr="00C37D48" w:rsidRDefault="002655D6"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1D8F0260" w:rsidR="00850F36" w:rsidRPr="00C37D48" w:rsidRDefault="002655D6"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125ADE84" w:rsidR="00850F36" w:rsidRPr="00C37D48" w:rsidRDefault="002655D6"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431725ED" w:rsidR="00850F36" w:rsidRPr="00C37D48" w:rsidRDefault="002655D6"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A16C2DF" w:rsidR="00850F36" w:rsidRPr="00C37D48" w:rsidRDefault="002655D6"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063ED3AF" w:rsidR="00850F36" w:rsidRPr="00C37D48" w:rsidRDefault="002655D6"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75C4A42" w:rsidR="00850F36" w:rsidRPr="00C37D48" w:rsidRDefault="00406AD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1A998465" w:rsidR="00850F36" w:rsidRPr="00C37D48" w:rsidRDefault="00406AD8"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E78D5EF" w:rsidR="00850F36" w:rsidRPr="00C37D48" w:rsidRDefault="00406AD8" w:rsidP="00C37D48">
            <w:pPr>
              <w:rPr>
                <w:rFonts w:ascii="Calibri" w:hAnsi="Calibri" w:cs="Calibri"/>
              </w:rPr>
            </w:pPr>
            <w:r>
              <w:rPr>
                <w:rFonts w:ascii="Calibri" w:hAnsi="Calibri" w:cs="Calibri"/>
              </w:rPr>
              <w:t>x</w:t>
            </w: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CB3F0FD" w:rsidR="00850F36" w:rsidRPr="00C37D48" w:rsidRDefault="00406AD8"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57941632" w14:textId="31DD26A7" w:rsidR="00D9431B" w:rsidRDefault="00406AD8" w:rsidP="00C37D48">
            <w:pPr>
              <w:rPr>
                <w:rFonts w:ascii="Calibri" w:hAnsi="Calibri" w:cs="Calibri"/>
              </w:rPr>
            </w:pPr>
            <w:r>
              <w:rPr>
                <w:rFonts w:ascii="Calibri" w:hAnsi="Calibri" w:cs="Calibri"/>
              </w:rPr>
              <w:t>2.19.1 – pages 26 and 37</w:t>
            </w:r>
          </w:p>
          <w:p w14:paraId="59D1258E" w14:textId="1C791F12" w:rsidR="00406AD8" w:rsidRDefault="00406AD8" w:rsidP="00C37D48">
            <w:pPr>
              <w:rPr>
                <w:rFonts w:ascii="Calibri" w:hAnsi="Calibri" w:cs="Calibri"/>
              </w:rPr>
            </w:pPr>
            <w:r>
              <w:rPr>
                <w:rFonts w:ascii="Calibri" w:hAnsi="Calibri" w:cs="Calibri"/>
              </w:rPr>
              <w:t>2.19.2 – page 55</w:t>
            </w:r>
          </w:p>
          <w:p w14:paraId="252C9D6E" w14:textId="75934205" w:rsidR="00406AD8" w:rsidRDefault="00406AD8" w:rsidP="00C37D48">
            <w:pPr>
              <w:rPr>
                <w:rFonts w:ascii="Calibri" w:hAnsi="Calibri" w:cs="Calibri"/>
              </w:rPr>
            </w:pPr>
            <w:r>
              <w:rPr>
                <w:rFonts w:ascii="Calibri" w:hAnsi="Calibri" w:cs="Calibri"/>
              </w:rPr>
              <w:t xml:space="preserve">2.19.4 – </w:t>
            </w:r>
            <w:r w:rsidRPr="00406AD8">
              <w:rPr>
                <w:rFonts w:ascii="Calibri" w:hAnsi="Calibri" w:cs="Calibri"/>
              </w:rPr>
              <w:t xml:space="preserve">The Plan’s GHG management system is intended to cover all emissions sources across all sectors, which includes non-carbon GHGs (such as methane and nitrous oxide). Entities are </w:t>
            </w:r>
            <w:r w:rsidRPr="00406AD8">
              <w:rPr>
                <w:rFonts w:ascii="Calibri" w:hAnsi="Calibri" w:cs="Calibri"/>
              </w:rPr>
              <w:lastRenderedPageBreak/>
              <w:t>encouraged to account for and manage all GHGs, but there is no explicit requirement for separate targets for non-carbon GHGs</w:t>
            </w:r>
            <w:r>
              <w:rPr>
                <w:rFonts w:ascii="Calibri" w:hAnsi="Calibri" w:cs="Calibri"/>
              </w:rPr>
              <w:t xml:space="preserve"> - page 38 </w:t>
            </w:r>
          </w:p>
          <w:p w14:paraId="16214077" w14:textId="780B2944" w:rsidR="00406AD8" w:rsidRDefault="00406AD8" w:rsidP="00C37D48">
            <w:pPr>
              <w:rPr>
                <w:rFonts w:ascii="Calibri" w:hAnsi="Calibri" w:cs="Calibri"/>
              </w:rPr>
            </w:pPr>
            <w:r>
              <w:rPr>
                <w:rFonts w:ascii="Calibri" w:hAnsi="Calibri" w:cs="Calibri"/>
              </w:rPr>
              <w:t xml:space="preserve">2.19.7 - </w:t>
            </w:r>
            <w:r w:rsidRPr="00406AD8">
              <w:rPr>
                <w:rFonts w:ascii="Calibri" w:hAnsi="Calibri" w:cs="Calibri"/>
              </w:rPr>
              <w:t>The Plan sets national and emirate-level renewable energy targets (e.g., 27% clean energy by 2021, 50% by 2050 for power generation)</w:t>
            </w:r>
            <w:r>
              <w:rPr>
                <w:rFonts w:ascii="Calibri" w:hAnsi="Calibri" w:cs="Calibri"/>
              </w:rPr>
              <w:t xml:space="preserve"> (page 36). </w:t>
            </w:r>
            <w:r w:rsidRPr="00406AD8">
              <w:rPr>
                <w:rFonts w:ascii="Calibri" w:hAnsi="Calibri" w:cs="Calibri"/>
              </w:rPr>
              <w:t>Entities in the energy and power sectors are expected to align with these targets, and the private sector is encouraged to participate in renewable energy procurement and deployment</w:t>
            </w:r>
            <w:r>
              <w:rPr>
                <w:rFonts w:ascii="Calibri" w:hAnsi="Calibri" w:cs="Calibri"/>
              </w:rPr>
              <w:t xml:space="preserve"> (page 27). </w:t>
            </w:r>
          </w:p>
          <w:p w14:paraId="664C5964" w14:textId="47BB1A45" w:rsidR="00406AD8" w:rsidRDefault="00406AD8" w:rsidP="00C37D48">
            <w:pPr>
              <w:rPr>
                <w:rFonts w:ascii="Calibri" w:hAnsi="Calibri" w:cs="Calibri"/>
              </w:rPr>
            </w:pPr>
            <w:r>
              <w:rPr>
                <w:rFonts w:ascii="Calibri" w:hAnsi="Calibri" w:cs="Calibri"/>
              </w:rPr>
              <w:t xml:space="preserve">2.19.10 - </w:t>
            </w:r>
            <w:r w:rsidRPr="00406AD8">
              <w:rPr>
                <w:rFonts w:ascii="Calibri" w:hAnsi="Calibri" w:cs="Calibri"/>
              </w:rPr>
              <w:t>The Plan strongly recommends the development of adaptation goals and actions</w:t>
            </w:r>
            <w:r>
              <w:rPr>
                <w:rFonts w:ascii="Calibri" w:hAnsi="Calibri" w:cs="Calibri"/>
              </w:rPr>
              <w:t xml:space="preserve"> (page 27). </w:t>
            </w:r>
            <w:r w:rsidRPr="00406AD8">
              <w:rPr>
                <w:rFonts w:ascii="Calibri" w:hAnsi="Calibri" w:cs="Calibri"/>
              </w:rPr>
              <w:t>It calls for the establishment of a National Adaptation Action Program (</w:t>
            </w:r>
            <w:proofErr w:type="spellStart"/>
            <w:r w:rsidRPr="00406AD8">
              <w:rPr>
                <w:rFonts w:ascii="Calibri" w:hAnsi="Calibri" w:cs="Calibri"/>
              </w:rPr>
              <w:t>NAAP</w:t>
            </w:r>
            <w:proofErr w:type="spellEnd"/>
            <w:r w:rsidRPr="00406AD8">
              <w:rPr>
                <w:rFonts w:ascii="Calibri" w:hAnsi="Calibri" w:cs="Calibri"/>
              </w:rPr>
              <w:t>) and the mainstreaming of adaptation planning at national, subnational, and sectoral levels</w:t>
            </w:r>
            <w:r>
              <w:rPr>
                <w:rFonts w:ascii="Calibri" w:hAnsi="Calibri" w:cs="Calibri"/>
              </w:rPr>
              <w:t xml:space="preserve"> (page 42). </w:t>
            </w:r>
            <w:r w:rsidRPr="00406AD8">
              <w:rPr>
                <w:rFonts w:ascii="Calibri" w:hAnsi="Calibri" w:cs="Calibri"/>
              </w:rPr>
              <w:t>Entities, especially in vulnerable sectors, are encouraged to develop and implement adaptation targets and measures</w:t>
            </w:r>
            <w:r>
              <w:rPr>
                <w:rFonts w:ascii="Calibri" w:hAnsi="Calibri" w:cs="Calibri"/>
              </w:rPr>
              <w:t xml:space="preserve"> (page 41). </w:t>
            </w:r>
          </w:p>
          <w:p w14:paraId="3C0A77F9" w14:textId="0B0B5F54" w:rsidR="00406AD8" w:rsidRDefault="00406AD8" w:rsidP="00C37D48">
            <w:pPr>
              <w:rPr>
                <w:rFonts w:ascii="Calibri" w:hAnsi="Calibri" w:cs="Calibri"/>
              </w:rPr>
            </w:pPr>
            <w:r>
              <w:rPr>
                <w:rFonts w:ascii="Calibri" w:hAnsi="Calibri" w:cs="Calibri"/>
              </w:rPr>
              <w:t xml:space="preserve">2.19.11 - </w:t>
            </w:r>
            <w:r w:rsidRPr="00406AD8">
              <w:rPr>
                <w:rFonts w:ascii="Calibri" w:hAnsi="Calibri" w:cs="Calibri"/>
              </w:rPr>
              <w:t>The Plan includes objectives for the protection and enhancement of natural capital, including the establishment of protected areas, expansion of blue carbon ecosystems, and biodiversity conservation</w:t>
            </w:r>
            <w:r>
              <w:rPr>
                <w:rFonts w:ascii="Calibri" w:hAnsi="Calibri" w:cs="Calibri"/>
              </w:rPr>
              <w:t xml:space="preserve"> (page 41). </w:t>
            </w:r>
            <w:r w:rsidRPr="00406AD8">
              <w:rPr>
                <w:rFonts w:ascii="Calibri" w:hAnsi="Calibri" w:cs="Calibri"/>
              </w:rPr>
              <w:t>Entities involved in land use, agriculture, fisheries, and related sectors are encouraged to set and pursue nature and biodiversity-related goals</w:t>
            </w:r>
            <w:r>
              <w:rPr>
                <w:rFonts w:ascii="Calibri" w:hAnsi="Calibri" w:cs="Calibri"/>
              </w:rPr>
              <w:t xml:space="preserve"> (page 42). </w:t>
            </w:r>
          </w:p>
          <w:p w14:paraId="20CA8168" w14:textId="360F84CE" w:rsidR="00406AD8" w:rsidRPr="00C37D48" w:rsidRDefault="00406AD8"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12B173E2" w:rsidR="000A1365" w:rsidRPr="00C37D48" w:rsidRDefault="00BD16F3"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CB75DF9" w:rsidR="00C81DE5" w:rsidRPr="00C37D48" w:rsidRDefault="00BD16F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159D2606" w:rsidR="000A1365" w:rsidRPr="00C37D48" w:rsidRDefault="00BD16F3"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787E0545" w:rsidR="000A1365" w:rsidRPr="00C37D48" w:rsidRDefault="00BD16F3"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0690529" w:rsidR="000A1365" w:rsidRPr="00C37D48" w:rsidRDefault="00BD16F3"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319333" w:rsidR="000A1365" w:rsidRPr="00C37D48" w:rsidRDefault="00BD16F3"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E8F0C2" w:rsidR="000A1365" w:rsidRPr="00C37D48" w:rsidRDefault="00BD16F3"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37F7E910" w:rsidR="00D9431B" w:rsidRPr="00C37D48" w:rsidRDefault="00BD16F3"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1D3CE7D8" w:rsidR="00890032" w:rsidRPr="00C37D48" w:rsidRDefault="003C382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66AB7888" w:rsidR="00474855" w:rsidRPr="00C37D48" w:rsidRDefault="003C382C" w:rsidP="00C37D48">
            <w:pPr>
              <w:rPr>
                <w:rFonts w:ascii="Calibri" w:hAnsi="Calibri" w:cs="Calibri"/>
              </w:rPr>
            </w:pPr>
            <w:r>
              <w:rPr>
                <w:rFonts w:ascii="Calibri" w:hAnsi="Calibri" w:cs="Calibri"/>
              </w:rPr>
              <w:t xml:space="preserve">The Climate Plan does not explicitly use the term “transition plan” in the sense of a formal, standalone document required for each targeted entity, but sets out a clear expectation for structured, phased and strategic planning by all relevant actors, public and private, towards a low-carbon, climate-resilient economy. </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462BAC0" w:rsidR="003618D4" w:rsidRPr="00C37D48" w:rsidRDefault="00CD2B8F"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1AA320A8"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F289CC0" w:rsidR="003618D4" w:rsidRPr="00C37D48" w:rsidRDefault="00CD2B8F"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315DCC"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4127C24" w:rsidR="003618D4" w:rsidRPr="00C37D48" w:rsidRDefault="00CD2B8F"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4E84A74"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36A68009" w:rsidR="003618D4" w:rsidRPr="00C37D48" w:rsidRDefault="003C382C"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07B3D49"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C8AA373" w:rsidR="003618D4" w:rsidRPr="00C37D48" w:rsidRDefault="003C382C"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22EB068B" w:rsidR="003618D4" w:rsidRPr="00C37D48" w:rsidRDefault="00CD2B8F"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2D66C0FD"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05959680" w14:textId="77777777" w:rsidR="005733AF" w:rsidRDefault="00CD2B8F" w:rsidP="00C37D48">
            <w:pPr>
              <w:rPr>
                <w:rFonts w:ascii="Calibri" w:hAnsi="Calibri" w:cs="Calibri"/>
              </w:rPr>
            </w:pPr>
            <w:r>
              <w:rPr>
                <w:rFonts w:ascii="Calibri" w:hAnsi="Calibri" w:cs="Calibri"/>
              </w:rPr>
              <w:t xml:space="preserve">2.36.1 - </w:t>
            </w:r>
            <w:r w:rsidR="00386E95">
              <w:rPr>
                <w:rFonts w:ascii="Calibri" w:hAnsi="Calibri" w:cs="Calibri"/>
              </w:rPr>
              <w:t>t</w:t>
            </w:r>
            <w:r w:rsidR="00386E95" w:rsidRPr="00386E95">
              <w:rPr>
                <w:rFonts w:ascii="Calibri" w:hAnsi="Calibri" w:cs="Calibri"/>
              </w:rPr>
              <w:t xml:space="preserve">he </w:t>
            </w:r>
            <w:r w:rsidR="00386E95">
              <w:rPr>
                <w:rFonts w:ascii="Calibri" w:hAnsi="Calibri" w:cs="Calibri"/>
              </w:rPr>
              <w:t>Climate Plan</w:t>
            </w:r>
            <w:r w:rsidR="00386E95" w:rsidRPr="00386E95">
              <w:rPr>
                <w:rFonts w:ascii="Calibri" w:hAnsi="Calibri" w:cs="Calibri"/>
              </w:rPr>
              <w:t xml:space="preserve"> establishes a clear, long-term timeframe for climate action, structured around key milestones</w:t>
            </w:r>
            <w:r w:rsidR="00386E95">
              <w:rPr>
                <w:rFonts w:ascii="Calibri" w:hAnsi="Calibri" w:cs="Calibri"/>
              </w:rPr>
              <w:t xml:space="preserve"> (page 28). </w:t>
            </w:r>
            <w:r w:rsidR="00386E95" w:rsidRPr="00386E95">
              <w:rPr>
                <w:rFonts w:ascii="Calibri" w:hAnsi="Calibri" w:cs="Calibri"/>
              </w:rPr>
              <w:t>The Plan itself extends to 2050, with specific reference points at 2020, 2025, and 2030.</w:t>
            </w:r>
            <w:r w:rsidR="00386E95">
              <w:rPr>
                <w:rFonts w:ascii="Calibri" w:hAnsi="Calibri" w:cs="Calibri"/>
              </w:rPr>
              <w:t xml:space="preserve"> </w:t>
            </w:r>
            <w:r w:rsidR="00386E95" w:rsidRPr="00386E95">
              <w:rPr>
                <w:rFonts w:ascii="Calibri" w:hAnsi="Calibri" w:cs="Calibri"/>
              </w:rPr>
              <w:t>These intervals are designed to allow for regular monitoring, assessment, and updating of progress.</w:t>
            </w:r>
            <w:r w:rsidR="00386E95">
              <w:rPr>
                <w:rFonts w:ascii="Calibri" w:hAnsi="Calibri" w:cs="Calibri"/>
              </w:rPr>
              <w:t xml:space="preserve"> </w:t>
            </w:r>
            <w:r w:rsidR="00386E95" w:rsidRPr="00386E95">
              <w:rPr>
                <w:rFonts w:ascii="Calibri" w:hAnsi="Calibri" w:cs="Calibri"/>
              </w:rPr>
              <w:t>While the Plan does not prescribe a fixed duration (such as a 10-year or 20-year plan) for individual entities’ transition plans, it expects all relevant actors to align their planning horizons with these national milestones. This phased approach ensures that transition planning is both forward-looking and adaptable to evolving circumstances</w:t>
            </w:r>
            <w:r w:rsidR="00386E95">
              <w:rPr>
                <w:rFonts w:ascii="Calibri" w:hAnsi="Calibri" w:cs="Calibri"/>
              </w:rPr>
              <w:t xml:space="preserve"> (page 15). </w:t>
            </w:r>
          </w:p>
          <w:p w14:paraId="147C0FE7" w14:textId="77777777" w:rsidR="00386E95" w:rsidRDefault="00386E95" w:rsidP="00C37D48">
            <w:pPr>
              <w:rPr>
                <w:rFonts w:ascii="Calibri" w:hAnsi="Calibri" w:cs="Calibri"/>
              </w:rPr>
            </w:pPr>
            <w:r>
              <w:rPr>
                <w:rFonts w:ascii="Calibri" w:hAnsi="Calibri" w:cs="Calibri"/>
              </w:rPr>
              <w:t xml:space="preserve">2.36.2 - </w:t>
            </w:r>
            <w:r w:rsidRPr="00386E95">
              <w:rPr>
                <w:rFonts w:ascii="Calibri" w:hAnsi="Calibri" w:cs="Calibri"/>
              </w:rPr>
              <w:t xml:space="preserve">The Climate Plan explicitly references the use of </w:t>
            </w:r>
            <w:proofErr w:type="spellStart"/>
            <w:r w:rsidRPr="00386E95">
              <w:rPr>
                <w:rFonts w:ascii="Calibri" w:hAnsi="Calibri" w:cs="Calibri"/>
              </w:rPr>
              <w:t>KPIs</w:t>
            </w:r>
            <w:proofErr w:type="spellEnd"/>
            <w:r w:rsidRPr="00386E95">
              <w:rPr>
                <w:rFonts w:ascii="Calibri" w:hAnsi="Calibri" w:cs="Calibri"/>
              </w:rPr>
              <w:t xml:space="preserve"> for tracking progress.</w:t>
            </w:r>
            <w:r>
              <w:rPr>
                <w:rFonts w:ascii="Calibri" w:hAnsi="Calibri" w:cs="Calibri"/>
              </w:rPr>
              <w:t xml:space="preserve"> I</w:t>
            </w:r>
            <w:r w:rsidRPr="00386E95">
              <w:rPr>
                <w:rFonts w:ascii="Calibri" w:hAnsi="Calibri" w:cs="Calibri"/>
              </w:rPr>
              <w:t xml:space="preserve">t states that the set of indicators for the Climate Plan will be aligned with the National </w:t>
            </w:r>
            <w:proofErr w:type="spellStart"/>
            <w:r w:rsidRPr="00386E95">
              <w:rPr>
                <w:rFonts w:ascii="Calibri" w:hAnsi="Calibri" w:cs="Calibri"/>
              </w:rPr>
              <w:t>KPIs</w:t>
            </w:r>
            <w:proofErr w:type="spellEnd"/>
            <w:r w:rsidRPr="00386E95">
              <w:rPr>
                <w:rFonts w:ascii="Calibri" w:hAnsi="Calibri" w:cs="Calibri"/>
              </w:rPr>
              <w:t xml:space="preserve"> of the UAE Vision 2021 and the Green </w:t>
            </w:r>
            <w:proofErr w:type="spellStart"/>
            <w:r w:rsidRPr="00386E95">
              <w:rPr>
                <w:rFonts w:ascii="Calibri" w:hAnsi="Calibri" w:cs="Calibri"/>
              </w:rPr>
              <w:t>KPIs</w:t>
            </w:r>
            <w:proofErr w:type="spellEnd"/>
            <w:r w:rsidRPr="00386E95">
              <w:rPr>
                <w:rFonts w:ascii="Calibri" w:hAnsi="Calibri" w:cs="Calibri"/>
              </w:rPr>
              <w:t xml:space="preserve"> of the Green Agenda 2015-2030</w:t>
            </w:r>
            <w:r>
              <w:rPr>
                <w:rFonts w:ascii="Calibri" w:hAnsi="Calibri" w:cs="Calibri"/>
              </w:rPr>
              <w:t xml:space="preserve"> (page 65). </w:t>
            </w:r>
            <w:r w:rsidRPr="00386E95">
              <w:rPr>
                <w:rFonts w:ascii="Calibri" w:hAnsi="Calibri" w:cs="Calibri"/>
              </w:rPr>
              <w:t xml:space="preserve">These </w:t>
            </w:r>
            <w:proofErr w:type="spellStart"/>
            <w:r w:rsidRPr="00386E95">
              <w:rPr>
                <w:rFonts w:ascii="Calibri" w:hAnsi="Calibri" w:cs="Calibri"/>
              </w:rPr>
              <w:t>KPIs</w:t>
            </w:r>
            <w:proofErr w:type="spellEnd"/>
            <w:r w:rsidRPr="00386E95">
              <w:rPr>
                <w:rFonts w:ascii="Calibri" w:hAnsi="Calibri" w:cs="Calibri"/>
              </w:rPr>
              <w:t xml:space="preserve"> are intended to measure progress across a range of climate-related objectives, including emissions management, adaptation, and economic diversification</w:t>
            </w:r>
            <w:r>
              <w:rPr>
                <w:rFonts w:ascii="Calibri" w:hAnsi="Calibri" w:cs="Calibri"/>
              </w:rPr>
              <w:t xml:space="preserve"> (page 26). </w:t>
            </w:r>
            <w:r w:rsidRPr="00386E95">
              <w:rPr>
                <w:rFonts w:ascii="Calibri" w:hAnsi="Calibri" w:cs="Calibri"/>
              </w:rPr>
              <w:t>The Ministry of Climate Change and Environment (</w:t>
            </w:r>
            <w:proofErr w:type="spellStart"/>
            <w:r w:rsidRPr="00386E95">
              <w:rPr>
                <w:rFonts w:ascii="Calibri" w:hAnsi="Calibri" w:cs="Calibri"/>
              </w:rPr>
              <w:t>MOCCAE</w:t>
            </w:r>
            <w:proofErr w:type="spellEnd"/>
            <w:r w:rsidRPr="00386E95">
              <w:rPr>
                <w:rFonts w:ascii="Calibri" w:hAnsi="Calibri" w:cs="Calibri"/>
              </w:rPr>
              <w:t xml:space="preserve">) is tasked with setting and tracking these </w:t>
            </w:r>
            <w:proofErr w:type="spellStart"/>
            <w:r w:rsidRPr="00386E95">
              <w:rPr>
                <w:rFonts w:ascii="Calibri" w:hAnsi="Calibri" w:cs="Calibri"/>
              </w:rPr>
              <w:t>KPIs</w:t>
            </w:r>
            <w:proofErr w:type="spellEnd"/>
            <w:r w:rsidRPr="00386E95">
              <w:rPr>
                <w:rFonts w:ascii="Calibri" w:hAnsi="Calibri" w:cs="Calibri"/>
              </w:rPr>
              <w:t>, coordinating data inputs, and preparing regular progress reports</w:t>
            </w:r>
            <w:r>
              <w:rPr>
                <w:rFonts w:ascii="Calibri" w:hAnsi="Calibri" w:cs="Calibri"/>
              </w:rPr>
              <w:t xml:space="preserve"> (page 33). </w:t>
            </w:r>
          </w:p>
          <w:p w14:paraId="475AE54F" w14:textId="4886ED63" w:rsidR="00386E95" w:rsidRPr="00C37D48" w:rsidRDefault="00386E95" w:rsidP="00C37D48">
            <w:pPr>
              <w:rPr>
                <w:rFonts w:ascii="Calibri" w:hAnsi="Calibri" w:cs="Calibri"/>
              </w:rPr>
            </w:pPr>
            <w:r>
              <w:rPr>
                <w:rFonts w:ascii="Calibri" w:hAnsi="Calibri" w:cs="Calibri"/>
              </w:rPr>
              <w:t xml:space="preserve">2.36.3 – The Climate Plan is a working document that will be updated periodically according to progress made. </w:t>
            </w:r>
            <w:r w:rsidRPr="00386E95">
              <w:rPr>
                <w:rFonts w:ascii="Calibri" w:hAnsi="Calibri" w:cs="Calibri"/>
              </w:rPr>
              <w:t>It calls for continuous review and updating of actions, with specific mention of biennial, multi-sectoral stocktaking of adaptation projects and initiative</w:t>
            </w:r>
            <w:r>
              <w:rPr>
                <w:rFonts w:ascii="Calibri" w:hAnsi="Calibri" w:cs="Calibri"/>
              </w:rPr>
              <w:t xml:space="preserve"> (page 42).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2C4525D7" w:rsidR="00E7486E" w:rsidRPr="00C37D48" w:rsidRDefault="00386E95"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178A35F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73C97A88" w:rsidR="00671EA4" w:rsidRPr="00C37D48" w:rsidRDefault="00386E95"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6FDF5D15" w:rsidR="00B610C2" w:rsidRPr="00610F28" w:rsidRDefault="00A57EF6"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6702E28A" w:rsidR="00B610C2" w:rsidRPr="00610F28" w:rsidRDefault="00A57EF6"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4B9C855" w:rsidR="00B610C2" w:rsidRPr="00610F28" w:rsidRDefault="00A57EF6"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16475CEB" w:rsidR="00B610C2" w:rsidRPr="00610F28" w:rsidRDefault="00A57EF6"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AC4568C" w:rsidR="00B610C2" w:rsidRPr="00610F28" w:rsidRDefault="00A57EF6"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9391505" w:rsidR="00B610C2" w:rsidRPr="00610F28" w:rsidRDefault="00A57EF6"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4DE84AB1" w:rsidR="00B610C2" w:rsidRPr="00610F28" w:rsidRDefault="00A57EF6"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3863507" w:rsidR="00B610C2" w:rsidRPr="00610F28" w:rsidRDefault="00A57EF6"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2EAD2762" w:rsidR="00B610C2" w:rsidRPr="00610F28" w:rsidRDefault="00A57EF6"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43CCAC46" w:rsidR="00B610C2" w:rsidRPr="00610F28" w:rsidRDefault="00A57EF6"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978B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978BA" w:rsidRDefault="00C66EE0" w:rsidP="00610F28">
            <w:pPr>
              <w:rPr>
                <w:rFonts w:ascii="Calibri" w:hAnsi="Calibri" w:cs="Calibri"/>
                <w:lang w:val="fr-FR"/>
              </w:rPr>
            </w:pPr>
            <w:r w:rsidRPr="00C978B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978BA" w:rsidRDefault="00C66EE0" w:rsidP="00610F28">
            <w:pPr>
              <w:rPr>
                <w:rFonts w:ascii="Calibri" w:hAnsi="Calibri" w:cs="Calibri"/>
                <w:lang w:val="fr-FR"/>
              </w:rPr>
            </w:pPr>
          </w:p>
        </w:tc>
      </w:tr>
      <w:tr w:rsidR="00241257" w:rsidRPr="00287C1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978B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978BA" w:rsidRDefault="00092534" w:rsidP="00CF2E7C">
            <w:pPr>
              <w:rPr>
                <w:rFonts w:ascii="Calibri" w:hAnsi="Calibri" w:cs="Calibri"/>
                <w:lang w:val="fr-FR"/>
              </w:rPr>
            </w:pPr>
            <w:r w:rsidRPr="00C978B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978BA" w:rsidRDefault="00092534" w:rsidP="00CF2E7C">
            <w:pPr>
              <w:rPr>
                <w:rFonts w:ascii="Calibri" w:hAnsi="Calibri" w:cs="Calibri"/>
                <w:lang w:val="fr-FR"/>
              </w:rPr>
            </w:pPr>
          </w:p>
        </w:tc>
      </w:tr>
      <w:tr w:rsidR="00092534" w:rsidRPr="009F07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978BA"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978BA" w:rsidRDefault="00DD292A" w:rsidP="00CF2E7C">
            <w:pPr>
              <w:rPr>
                <w:rFonts w:ascii="Calibri" w:hAnsi="Calibri" w:cs="Calibri"/>
                <w:lang w:val="fr-FR"/>
              </w:rPr>
            </w:pPr>
            <w:r w:rsidRPr="00C978BA">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978BA" w:rsidRDefault="00DD292A" w:rsidP="00CF2E7C">
            <w:pPr>
              <w:rPr>
                <w:rFonts w:ascii="Calibri" w:hAnsi="Calibri" w:cs="Calibri"/>
                <w:lang w:val="fr-FR"/>
              </w:rPr>
            </w:pPr>
          </w:p>
        </w:tc>
      </w:tr>
      <w:tr w:rsidR="00DD292A" w:rsidRPr="009F07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978B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978BA" w:rsidRDefault="002F0752" w:rsidP="00CF2E7C">
            <w:pPr>
              <w:rPr>
                <w:rFonts w:ascii="Calibri" w:hAnsi="Calibri" w:cs="Calibri"/>
                <w:lang w:val="fr-FR"/>
              </w:rPr>
            </w:pPr>
            <w:r w:rsidRPr="00C978BA">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978BA" w:rsidRDefault="002F0752" w:rsidP="00CF2E7C">
            <w:pPr>
              <w:rPr>
                <w:rFonts w:ascii="Calibri" w:hAnsi="Calibri" w:cs="Calibri"/>
                <w:lang w:val="fr-FR"/>
              </w:rPr>
            </w:pPr>
          </w:p>
        </w:tc>
      </w:tr>
      <w:tr w:rsidR="002F0752" w:rsidRPr="005762C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422F02" w14:textId="77777777" w:rsidR="009A29CE" w:rsidRDefault="009A29CE" w:rsidP="00874E39">
      <w:r>
        <w:separator/>
      </w:r>
    </w:p>
  </w:endnote>
  <w:endnote w:type="continuationSeparator" w:id="0">
    <w:p w14:paraId="766A7C7D" w14:textId="77777777" w:rsidR="009A29CE" w:rsidRDefault="009A29CE" w:rsidP="00874E39">
      <w:r>
        <w:continuationSeparator/>
      </w:r>
    </w:p>
  </w:endnote>
  <w:endnote w:type="continuationNotice" w:id="1">
    <w:p w14:paraId="42F9ED39" w14:textId="77777777" w:rsidR="009A29CE" w:rsidRDefault="009A29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4DFBF5" w14:textId="77777777" w:rsidR="009A29CE" w:rsidRDefault="009A29CE" w:rsidP="00874E39">
      <w:r>
        <w:separator/>
      </w:r>
    </w:p>
  </w:footnote>
  <w:footnote w:type="continuationSeparator" w:id="0">
    <w:p w14:paraId="0B5BF9A8" w14:textId="77777777" w:rsidR="009A29CE" w:rsidRDefault="009A29CE" w:rsidP="00874E39">
      <w:r>
        <w:continuationSeparator/>
      </w:r>
    </w:p>
  </w:footnote>
  <w:footnote w:type="continuationNotice" w:id="1">
    <w:p w14:paraId="2ED81D4A" w14:textId="77777777" w:rsidR="009A29CE" w:rsidRDefault="009A29C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6F8217BF"/>
    <w:multiLevelType w:val="hybridMultilevel"/>
    <w:tmpl w:val="79F6436C"/>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523440054">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18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E4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5D6"/>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F3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6E95"/>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82C"/>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AD8"/>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CCA"/>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74E"/>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14"/>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A2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3E4"/>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D1E"/>
    <w:rsid w:val="007F616B"/>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238"/>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B63"/>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9CE"/>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57EF6"/>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2E2"/>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0410"/>
    <w:rsid w:val="00BD1613"/>
    <w:rsid w:val="00BD16F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8BA"/>
    <w:rsid w:val="00CA0DAE"/>
    <w:rsid w:val="00CA0E49"/>
    <w:rsid w:val="00CA1535"/>
    <w:rsid w:val="00CA5087"/>
    <w:rsid w:val="00CA58EE"/>
    <w:rsid w:val="00CA7EEF"/>
    <w:rsid w:val="00CB1649"/>
    <w:rsid w:val="00CB179D"/>
    <w:rsid w:val="00CB3E5E"/>
    <w:rsid w:val="00CB4EBD"/>
    <w:rsid w:val="00CB6289"/>
    <w:rsid w:val="00CB6338"/>
    <w:rsid w:val="00CB76AA"/>
    <w:rsid w:val="00CB790E"/>
    <w:rsid w:val="00CC1407"/>
    <w:rsid w:val="00CC450D"/>
    <w:rsid w:val="00CC4FFC"/>
    <w:rsid w:val="00CC5328"/>
    <w:rsid w:val="00CC77F9"/>
    <w:rsid w:val="00CC7CC0"/>
    <w:rsid w:val="00CD0735"/>
    <w:rsid w:val="00CD2B2D"/>
    <w:rsid w:val="00CD2B8F"/>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1A28"/>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22D0"/>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4E05"/>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u.ae/en/more/uae-net-zero-2050"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www.nortonrosefulbright.com/en/knowledge/publications/1fa17e29/how-is-the-united-arab-emirates-planning-to-achieve-net-zero"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file:///\\reedsmith.com\emedata\Proddata\Dubai\Lauren%20Banner\Pro%20Bono\Oxford%20Net%20Zero\National%20Climate%20Change%20Plan%20of%20the%20United%20Arab%20Emirates%202017-2050.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impact.economist.com/sustainability/net-zero-and-energy/how-the-uae-is-unlocking-the-economic-opportunity-of-energy-transition"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unfccc.int/sites/default/files/english_paris_agreement.pdf"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unfccc.int/sites/default/files/2024-11/UAE-NDC3.0.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unfccc.int/files/essential_background/background_publications_htmlpdf/application/pdf/conveng.pdf"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22565</Words>
  <Characters>134266</Characters>
  <Application>Microsoft Office Word</Application>
  <DocSecurity>0</DocSecurity>
  <Lines>8951</Lines>
  <Paragraphs>5059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17</cp:revision>
  <cp:lastPrinted>2025-03-21T00:14:00Z</cp:lastPrinted>
  <dcterms:created xsi:type="dcterms:W3CDTF">2025-07-14T09:11:00Z</dcterms:created>
  <dcterms:modified xsi:type="dcterms:W3CDTF">2025-07-16T13:37:00Z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